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jpg" ContentType="image/jpeg"/>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456846d699ef426a"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3528"/>
                <wp:effectExtent l="0" t="0" r="0" b="0"/>
                <wp:wrapNone/>
                <wp:docPr id="7710" name="Rectangle 7710"/>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84"/>
                              <w:gridCol w:w="1134"/>
                              <w:gridCol w:w="1134"/>
                              <w:gridCol w:w="100"/>
                              <w:gridCol w:w="1078"/>
                              <w:gridCol w:w="1134"/>
                              <w:gridCol w:w="1134"/>
                              <w:gridCol w:w="1134"/>
                            </w:tblGrid>
                            <w:tr>
                              <w:trPr>
                                <w:trHeight w:val="270"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 Identification de la substance/du mélange et de la société/l’entreprise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1.1 - Identificateur de produit</w:t>
                                  </w:r>
                                </w:p>
                              </w:tc>
                            </w:tr>
                            <w:tr>
                              <w:trPr>
                                <w:trHeight w:val="456"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BOUGIE OUD ETERNEL 2104748 10%</w:t>
                                  </w:r>
                                </w:p>
                              </w:tc>
                            </w:tr>
                            <w:tr>
                              <w:trPr>
                                <w:trHeight w:val="228"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Nom chimique</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Mélange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5666"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Bougie parfumée à destination du grand public</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91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LAB SAS</w:t>
                                  </w:r>
                                </w:p>
                                <w:p>
                                  <w:pPr>
                                    <w:spacing w:before="0" w:after="0" w:line="220" w:lineRule="exact"/>
                                    <w:jc w:val="left"/>
                                  </w:pPr>
                                  <w:r>
                                    <w:rPr>
                                      <w:rFonts w:ascii="Arial" w:hAnsi="Arial" w:cs="Arial"/>
                                      <w:b w:val="false"/>
                                      <w:i w:val="false"/>
                                      <w:strike w:val="false"/>
                                      <w:color w:val="000000"/>
                                      <w:spacing w:val="0"/>
                                      <w:sz w:val="20"/>
                                      <w:u w:val="none"/>
                                    </w:rPr>
                                    <w:t xml:space="preserve">1, rue de la clé des champs</w:t>
                                  </w:r>
                                </w:p>
                                <w:p>
                                  <w:pPr>
                                    <w:spacing w:before="0" w:after="0" w:line="220" w:lineRule="exact"/>
                                    <w:jc w:val="left"/>
                                  </w:pPr>
                                  <w:r>
                                    <w:rPr>
                                      <w:rFonts w:ascii="Arial" w:hAnsi="Arial" w:cs="Arial"/>
                                      <w:b w:val="false"/>
                                      <w:i w:val="false"/>
                                      <w:strike w:val="false"/>
                                      <w:color w:val="000000"/>
                                      <w:spacing w:val="0"/>
                                      <w:sz w:val="20"/>
                                      <w:u w:val="none"/>
                                    </w:rPr>
                                    <w:t xml:space="preserve">68600 Volgelsheim France</w:t>
                                  </w:r>
                                </w:p>
                                <w:p>
                                  <w:pPr>
                                    <w:spacing w:before="0" w:after="0" w:line="220" w:lineRule="exact"/>
                                    <w:jc w:val="left"/>
                                  </w:pPr>
                                  <w:r>
                                    <w:rPr>
                                      <w:rFonts w:ascii="Arial" w:hAnsi="Arial" w:cs="Arial"/>
                                      <w:b w:val="false"/>
                                      <w:i w:val="false"/>
                                      <w:strike w:val="false"/>
                                      <w:color w:val="000000"/>
                                      <w:spacing w:val="0"/>
                                      <w:sz w:val="20"/>
                                      <w:u w:val="none"/>
                                    </w:rPr>
                                    <w:t xml:space="preserve">Téléphone : 03 89 22 77 65</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ORFILA (INRS) + 33 (0)1 45 42 59 59 France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Chronic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1361" w:hRule="exact"/>
                              </w:trPr>
                              <w:tc>
                                <w:tcPr>
                                  <w:tcW w:w="3340"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Pictogrammes des risques</w:t>
                                  </w:r>
                                </w:p>
                              </w:tc>
                              <w:tc>
                                <w:tcPr>
                                  <w:tcW w:w="113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77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H411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P102</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P103</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Lire l'étiquette avant utilisation.</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P273</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P391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Recueillir le produit répandu.</w:t>
                                  </w:r>
                                </w:p>
                              </w:tc>
                            </w:tr>
                            <w:tr>
                              <w:trPr>
                                <w:trHeight w:val="446"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P501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Éliminer le récipient dans une installation de recyclage ou d'élimination des déchets approuvée.</w:t>
                                  </w:r>
                                </w:p>
                              </w:tc>
                            </w:tr>
                          </w:tbl>
                          <w:tbl>
                            <w:tblPr>
                              <w:tblLayout w:type="fixed"/>
                              <w:tblInd w:w="0" w:type="dxa"/>
                              <w:tblCellMar>
                                <w:left w:w="0" w:type="dxa"/>
                                <w:right w:w="0" w:type="dxa"/>
                              </w:tblCellMar>
                            </w:tblPr>
                            <w:tblGrid>
                              <w:gridCol w:w="2268"/>
                              <w:gridCol w:w="226"/>
                              <w:gridCol w:w="568"/>
                              <w:gridCol w:w="1474"/>
                              <w:gridCol w:w="1078"/>
                              <w:gridCol w:w="2268"/>
                              <w:gridCol w:w="2268"/>
                            </w:tblGrid>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Phrases EUH</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5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Contient Cyperus scariosus (cypriol) (91771-62-9) | cinnamaldehyde (104-55-2) | 1-(1,2,3,4,5,6,7,8-octahydro-2,3,8,8-tetramethyl-2- naphthalenyl)ethanone (54464-57-2) | linalyl acetate (115-95-7) | d-limonene (r)-p-mentha-1,8-diene (5989-27-5) | 4-tert-butylcyclohexyl acetate (32210-23-4) | α-hexylcinnamaldehyde (101-86-0) | (ethoxymethoxy)cyclododecane (boisambrene forte) (58567-11-6) | methyl cedryl ether (19870-74-7)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Concentration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methyl cedryl ether</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19870-74-7</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0,774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101-86-0</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0,658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1-(1,2,3,4,5,6,7,8-octahydro-2, 3,8,8-tetramethyl-2- naphthalenyl)ethanone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54464-57-2</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0,645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4-tert-butylcyclohexyl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32210-23-4</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250-954-9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0,516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d-limonene (r)-p-mentha-1,8-diene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5989-27-5</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 601-029-00-7</w:t>
                                  </w:r>
                                </w:p>
                                <w:p>
                                  <w:pPr>
                                    <w:spacing w:before="0" w:after="0" w:line="18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0,448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80" w:lineRule="exact"/>
                                    <w:jc w:val="left"/>
                                  </w:pPr>
                                  <w:r>
                                    <w:rPr>
                                      <w:rFonts w:ascii="Arial" w:hAnsi="Arial" w:cs="Arial"/>
                                      <w:b w:val="false"/>
                                      <w:i w:val="false"/>
                                      <w:strike w:val="false"/>
                                      <w:color w:val="000000"/>
                                      <w:spacing w:val="0"/>
                                      <w:sz w:val="16"/>
                                      <w:u w:val="none"/>
                                    </w:rPr>
                                    <w:t xml:space="preserve">Asp. Tox. 1 - H304</w:t>
                                  </w:r>
                                </w:p>
                                <w:p>
                                  <w:pPr>
                                    <w:spacing w:before="0" w:after="0" w:line="180" w:lineRule="exact"/>
                                    <w:jc w:val="left"/>
                                  </w:pPr>
                                  <w:r>
                                    <w:rPr>
                                      <w:rFonts w:ascii="Arial" w:hAnsi="Arial" w:cs="Arial"/>
                                      <w:b w:val="false"/>
                                      <w:i w:val="false"/>
                                      <w:strike w:val="false"/>
                                      <w:color w:val="000000"/>
                                      <w:spacing w:val="0"/>
                                      <w:sz w:val="16"/>
                                      <w:u w:val="none"/>
                                    </w:rPr>
                                    <w:t xml:space="preserve">Flam. Liq. 3 - H226</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1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1,3,4,6,7,8-hexahydro-4,6,6,7, 8,8-hexamethylcyclopenta- gamma-2-benzopyran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1222-05-5</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8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rPr>
                                      <w:spacing w:val="-20"/>
                                    </w:rPr>
                                  </w:pPr>
                                  <w:r>
                                    <w:rPr>
                                      <w:rFonts w:ascii="Arial" w:hAnsi="Arial" w:cs="Arial"/>
                                      <w:b w:val="false"/>
                                      <w:i w:val="false"/>
                                      <w:strike w:val="false"/>
                                      <w:color w:val="000000"/>
                                      <w:spacing w:val="-4"/>
                                      <w:sz w:val="16"/>
                                      <w:u w:val="none"/>
                                    </w:rPr>
                                    <w:t xml:space="preserve">(ethoxymethoxy)cyclododecane</w:t>
                                  </w:r>
                                </w:p>
                                <w:p>
                                  <w:pPr>
                                    <w:spacing w:before="0" w:after="0" w:line="180" w:lineRule="exact"/>
                                    <w:jc w:val="left"/>
                                  </w:pPr>
                                  <w:r>
                                    <w:rPr>
                                      <w:rFonts w:ascii="Arial" w:hAnsi="Arial" w:cs="Arial"/>
                                      <w:b w:val="false"/>
                                      <w:i w:val="false"/>
                                      <w:strike w:val="false"/>
                                      <w:color w:val="000000"/>
                                      <w:spacing w:val="0"/>
                                      <w:sz w:val="16"/>
                                      <w:u w:val="none"/>
                                    </w:rPr>
                                    <w:t xml:space="preserve">(boisambrene forte)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58567-11-6</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261-332-1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0,323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Cyperus scariosus (cypriol)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91771-62-9</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294-955-2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0,129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Asp. Tox. 1 - H304</w:t>
                                  </w:r>
                                </w:p>
                                <w:p>
                                  <w:pPr>
                                    <w:spacing w:before="0" w:after="0" w:line="18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115-95-7</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0,129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Eye Irrit. 2 - H319</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alpha-cedrene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469-61-4</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207-418-4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0,039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80" w:lineRule="exact"/>
                                    <w:jc w:val="left"/>
                                  </w:pPr>
                                  <w:r>
                                    <w:rPr>
                                      <w:rFonts w:ascii="Arial" w:hAnsi="Arial" w:cs="Arial"/>
                                      <w:b w:val="false"/>
                                      <w:i w:val="false"/>
                                      <w:strike w:val="false"/>
                                      <w:color w:val="000000"/>
                                      <w:spacing w:val="0"/>
                                      <w:sz w:val="16"/>
                                      <w:u w:val="none"/>
                                    </w:rPr>
                                    <w:t xml:space="preserve">Asp. Tox. 1 - H304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10 / 10</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4.1 - Description des premiers secours</w:t>
                                  </w:r>
                                </w:p>
                              </w:tc>
                            </w:tr>
                          </w:tbl>
                          <w:tbl>
                            <w:tblPr>
                              <w:tblLayout w:type="fixed"/>
                              <w:tblInd w:w="0" w:type="dxa"/>
                              <w:tblCellMar>
                                <w:left w:w="0" w:type="dxa"/>
                                <w:right w:w="0" w:type="dxa"/>
                              </w:tblCellMar>
                            </w:tblPr>
                            <w:tblGrid>
                              <w:gridCol w:w="4536"/>
                              <w:gridCol w:w="5614"/>
                            </w:tblGrid>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En cas d'inhalation</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Veiller à un apport d'air frais.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Après contact avec la peau</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Après contact avec la peau, se laver immédiatement et abondamment avec eau et savon.</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Après contact avec les yeux</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En cas d'ingestion</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faire vomir.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Provoque une irritation cutanée.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Provoque une irritation des yeux.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En cas d'ingestion</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5.1 - Moyen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Moyens d'extinction appropriés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ABC-poudre</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Dioxyde de carbone (CO2)</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Mousse</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Poudre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Moyens d'extinction inappropriés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Jet d'eau à grand débit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Produits de décomposition dangereux</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Adapter les mesures d'extinction au milieu environnant</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Pour les non-secouristes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Pour les secouristes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4536"/>
                              <w:gridCol w:w="3686"/>
                              <w:gridCol w:w="1928"/>
                            </w:tblGrid>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laisser s'écouler dans les canalisations ni dans les eaux courantes.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et matériel de confinement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Traiter le matériau recueilli conformément à la section Elimination.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et matériel de nettoyage</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Recueillir mécaniquement.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Techniques inappropriées</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6.4 - Référence à d'autres sections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Protection individuelle: voir rubrique 8</w:t>
                                  </w: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Evacuation: voir rubrique 13</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Recommandation</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de: Contact avec les yeux</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de: Contact avec la peau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7.2 - Conditions d’un stockage sûr, y compris d’éventuelles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Protéger contre:Forte chaleur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Bougie parfumée à destination du grand public</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8.2 - Contrôle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Contrôles techniques appropriés</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Le produit est stable si stocké à des températures ambiantes normales.</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exac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368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tout contact avec les yeux, la peau ou les vêtements.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le rejet dans l'environnement.</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jeter les résidus à l'égout.</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8"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Solide</w:t>
                                  </w:r>
                                </w:p>
                              </w:tc>
                            </w:tr>
                            <w:tr>
                              <w:trPr>
                                <w:trHeight w:val="228"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Blanc</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&gt; 100 °C</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Ce produit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Le produit est stable si stocké à des températures ambiantes normales.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Des réactions dangereuses ne se produisent pas si utilisé et stocké correctement.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10.4 - Conditions à éviter</w:t>
                                  </w:r>
                                </w:p>
                              </w:tc>
                            </w:tr>
                          </w:tbl>
                          <w:tbl>
                            <w:tblPr>
                              <w:tblLayout w:type="fixed"/>
                              <w:tblInd w:w="0" w:type="dxa"/>
                              <w:tblCellMar>
                                <w:left w:w="0" w:type="dxa"/>
                                <w:right w:w="0" w:type="dxa"/>
                              </w:tblCellMar>
                            </w:tblPr>
                            <w:tblGrid>
                              <w:gridCol w:w="2836"/>
                              <w:gridCol w:w="4536"/>
                              <w:gridCol w:w="2778"/>
                            </w:tblGrid>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se décompose pas si utilisé dans les conditions prevues.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11.1 - Informations sur les effets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oral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dermal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dermal (rabbit)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dusts and mists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vapours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Compte tenu des données disponibles, les critères de classification ne sont pas remplis.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Irritant pour la peau.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Irritant pour les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Peut entraîner une sensibilisation par contact avec la peau.</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Peut provoquer une allergie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Cancerogénité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5104"/>
                              <w:gridCol w:w="5046"/>
                            </w:tblGrid>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EC50 48 hr crustacea</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96 hr fish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ErC50 algae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ErC50 other aquatic plants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fish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crustacea</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algae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other aquatic plants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Très toxique pour les organismes aquatiques, entraîne des effets néfastes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indication relative à un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12.7 - Autres effets nocifs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2836"/>
                              <w:gridCol w:w="510"/>
                              <w:gridCol w:w="100"/>
                              <w:gridCol w:w="1134"/>
                              <w:gridCol w:w="1078"/>
                              <w:gridCol w:w="1134"/>
                              <w:gridCol w:w="1134"/>
                              <w:gridCol w:w="1134"/>
                              <w:gridCol w:w="1134"/>
                            </w:tblGrid>
                            <w:tr>
                              <w:trPr>
                                <w:trHeight w:val="456"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de traitement des déchets</w:t>
                                  </w:r>
                                </w:p>
                              </w:tc>
                              <w:tc>
                                <w:tcPr>
                                  <w:tcW w:w="5608"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L'élimination doit se faire selon les prescriptions des autorités locales.</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Evacuation des eaux</w:t>
                                  </w:r>
                                </w:p>
                              </w:tc>
                              <w:tc>
                                <w:tcPr>
                                  <w:tcW w:w="5608"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Précautions particulières à prendre</w:t>
                                  </w:r>
                                </w:p>
                              </w:tc>
                              <w:tc>
                                <w:tcPr>
                                  <w:tcW w:w="5608"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5608"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9"/>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14.1 - Numéro ONU</w:t>
                                  </w:r>
                                </w:p>
                              </w:tc>
                            </w:tr>
                            <w:tr>
                              <w:trPr>
                                <w:trHeight w:val="170"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Numéro ONU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80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UN3077</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Numéro ONU (IMDG)</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80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UN3077</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Numéro ONU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80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UN3077</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14.2 - Nom d’expédition des Nations unies</w:t>
                                  </w:r>
                                </w:p>
                              </w:tc>
                            </w:tr>
                            <w:tr>
                              <w:trPr>
                                <w:trHeight w:val="170"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Nom d’expédition des Nations unies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80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MATIÈRE DANGEREUSE DU POINT DE VUE DE L'ENVIRONNEMENT, SOLIDE, N.S.A.</w:t>
                                  </w: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Nom d’expédition des Nations unies (IMDG)</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80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MATIÈRE DANGEREUSE DU POINT DE VUE DE L'ENVIRONNEMENT, SOLIDE, N.S.A.</w:t>
                                  </w: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Nom d’expédition des Nations unies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80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MATIÈRE DANGEREUSE DU POINT DE VUE DE L'ENVIRONNEMENT, SOLIDE, N.S.A.</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70"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Classe(s) de danger  pour le transport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9</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M7</w:t>
                                  </w:r>
                                </w:p>
                              </w:tc>
                            </w:tr>
                            <w:tr>
                              <w:trPr>
                                <w:trHeight w:val="1134" w:hRule="exact"/>
                              </w:trPr>
                              <w:tc>
                                <w:tcPr>
                                  <w:tcW w:w="560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778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Classe(s) de danger pour le  transport (IMDG)</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9</w:t>
                                  </w:r>
                                </w:p>
                              </w:tc>
                            </w:tr>
                            <w:tr>
                              <w:trPr>
                                <w:trHeight w:val="1134" w:hRule="exact"/>
                              </w:trPr>
                              <w:tc>
                                <w:tcPr>
                                  <w:tcW w:w="560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779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Classe(s) de danger pour le  transport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9</w:t>
                                  </w:r>
                                </w:p>
                              </w:tc>
                            </w:tr>
                            <w:tr>
                              <w:trPr>
                                <w:trHeight w:val="1134" w:hRule="exact"/>
                              </w:trPr>
                              <w:tc>
                                <w:tcPr>
                                  <w:tcW w:w="560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779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5">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14.4 - Groupe d'emballage</w:t>
                                  </w:r>
                                </w:p>
                              </w:tc>
                            </w:tr>
                          </w:tbl>
                          <w:tbl>
                            <w:tblPr>
                              <w:tblLayout w:type="fixed"/>
                              <w:tblInd w:w="0" w:type="dxa"/>
                              <w:tblCellMar>
                                <w:left w:w="0" w:type="dxa"/>
                                <w:right w:w="0" w:type="dxa"/>
                              </w:tblCellMar>
                            </w:tblPr>
                            <w:tblGrid>
                              <w:gridCol w:w="2836"/>
                              <w:gridCol w:w="568"/>
                              <w:gridCol w:w="2268"/>
                              <w:gridCol w:w="568"/>
                              <w:gridCol w:w="3912"/>
                            </w:tblGrid>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Groupe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III</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Groupe d'emballage (IMDG)</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III</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Groupe d'emballage (IATA)</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III</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Oui.</w:t>
                                  </w: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6"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true"/>
                                      <w:i w:val="false"/>
                                      <w:strike w:val="false"/>
                                      <w:color w:val="000000"/>
                                      <w:spacing w:val="0"/>
                                      <w:sz w:val="20"/>
                                      <w:u w:val="single"/>
                                    </w:rPr>
                                    <w:t xml:space="preserve">ADR</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M7</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274+335+375+601</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Quantité limitée (LQ)</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5 kg</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Quantités exceptées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E1</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Instructions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P002 IBC08 LP02 R001</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PP12 B3</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pour l'emballage en commun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MP10</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Instructions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T1</w:t>
                                  </w:r>
                                </w:p>
                              </w:tc>
                            </w:tr>
                            <w:tr>
                              <w:trPr>
                                <w:trHeight w:val="456"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TP33</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Code-citerne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SGAV LGBV</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citernes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Véhicule pour le transport en citerne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AT</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catégorie de transport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3</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code de restriction en tunnel</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w:t>
                                  </w:r>
                                </w:p>
                              </w:tc>
                            </w:tr>
                            <w:tr>
                              <w:trPr>
                                <w:trHeight w:val="456"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chargement, déchargement et  manutention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CV13</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 Colis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V13</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VC1 VC2</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 Exploitation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ADR Danger n° (code Kemler)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90</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6"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true"/>
                                      <w:i w:val="false"/>
                                      <w:strike w:val="false"/>
                                      <w:color w:val="000000"/>
                                      <w:spacing w:val="0"/>
                                      <w:sz w:val="20"/>
                                      <w:u w:val="single"/>
                                    </w:rPr>
                                    <w:t xml:space="preserve">IMDG</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335, 966, 274, 967, 969</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Quantité limitée (LQ)</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5 kg</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Quantités exceptées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Instruction(s) IBC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IBC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Instructions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56"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spéciales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Codes EmS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F-A, S-F</w:t>
                                  </w: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Arrimage et manutention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Séparation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Propriétés et observations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964"/>
                              <w:gridCol w:w="738"/>
                              <w:gridCol w:w="510"/>
                              <w:gridCol w:w="624"/>
                              <w:gridCol w:w="568"/>
                              <w:gridCol w:w="1078"/>
                              <w:gridCol w:w="1190"/>
                              <w:gridCol w:w="568"/>
                              <w:gridCol w:w="3912"/>
                            </w:tblGrid>
                            <w:tr>
                              <w:trPr>
                                <w:trHeight w:val="236"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true"/>
                                      <w:i w:val="false"/>
                                      <w:strike w:val="false"/>
                                      <w:color w:val="000000"/>
                                      <w:spacing w:val="0"/>
                                      <w:sz w:val="20"/>
                                      <w:u w:val="single"/>
                                    </w:rPr>
                                    <w:t xml:space="preserve">IATA</w:t>
                                  </w: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PCA - Quantités exceptées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PCA - Quantités limitées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56"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PCA - Quantités limitées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PCA - Packing Instructions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PCA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CAO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CAO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5666"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Code ERG</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14.7 - Transport en vrac conformément à l’annexe II de la convention Marpol 73/78 et au recueil IBC</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applicable</w:t>
                                  </w:r>
                                </w:p>
                              </w:tc>
                            </w:tr>
                            <w:tr>
                              <w:trPr>
                                <w:trHeight w:val="284"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9"/>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15: Informations réglementaires</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504"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Parfums : 5% ou plus, mais moins de 15%</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Evaluation de la sécurité chimique  effectuée pour le produit</w:t>
                                  </w:r>
                                </w:p>
                              </w:tc>
                              <w:tc>
                                <w:tcPr>
                                  <w:tcW w:w="6742"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9"/>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6"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Auteur</w:t>
                                  </w:r>
                                </w:p>
                              </w:tc>
                              <w:tc>
                                <w:tcPr>
                                  <w:tcW w:w="5666"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Description des modifications</w:t>
                                  </w:r>
                                </w:p>
                              </w:tc>
                            </w:tr>
                            <w:tr>
                              <w:trPr>
                                <w:trHeight w:val="229"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22/04/2021</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9"/>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9"/>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45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45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Asp. Tox. 1</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Eye Irrit. 2</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Flam. Liq. 3</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H411</w:t>
                                  </w:r>
                                </w:p>
                              </w:tc>
                              <w:tc>
                                <w:tcPr>
                                  <w:tcW w:w="8444" w:type="dxa"/>
                                  <w:gridSpan w:val="7"/>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bl>
                          <w:tbl>
                            <w:tblPr>
                              <w:tblLayout w:type="fixed"/>
                              <w:tblInd w:w="0" w:type="dxa"/>
                              <w:tblCellMar>
                                <w:left w:w="0" w:type="dxa"/>
                                <w:right w:w="0" w:type="dxa"/>
                              </w:tblCellMar>
                            </w:tblPr>
                            <w:tblGrid>
                              <w:gridCol w:w="1702"/>
                              <w:gridCol w:w="8448"/>
                            </w:tblGrid>
                            <w:tr>
                              <w:trPr>
                                <w:trHeight w:val="229"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29"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29"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9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w:t>
                                  </w:r>
                                </w:p>
                                <w:p>
                                  <w:pPr>
                                    <w:spacing w:before="0" w:after="0" w:line="220" w:lineRule="exact"/>
                                    <w:jc w:val="left"/>
                                  </w:pPr>
                                  <w:r>
                                    <w:rPr>
                                      <w:rFonts w:ascii="Arial" w:hAnsi="Arial" w:cs="Arial"/>
                                      <w:b w:val="false"/>
                                      <w:i w:val="false"/>
                                      <w:strike w:val="false"/>
                                      <w:color w:val="000000"/>
                                      <w:spacing w:val="0"/>
                                      <w:sz w:val="20"/>
                                      <w:u w:val="none"/>
                                    </w:rPr>
                                    <w:t xml:space="preserve"> </w:t>
                                  </w:r>
                                </w:p>
                                <w:p>
                                  <w:pPr>
                                    <w:spacing w:before="0" w:after="0" w:line="220" w:lineRule="exact"/>
                                    <w:jc w:val="left"/>
                                  </w:pPr>
                                  <w:r>
                                    <w:rPr>
                                      <w:rFonts w:ascii="Arial" w:hAnsi="Arial" w:cs="Arial"/>
                                      <w:b w:val="false"/>
                                      <w:i w:val="false"/>
                                      <w:strike w:val="false"/>
                                      <w:color w:val="000000"/>
                                      <w:spacing w:val="0"/>
                                      <w:sz w:val="20"/>
                                      <w:u w:val="none"/>
                                    </w:rPr>
                                    <w:t xml:space="preserve">Document généré informatiquement, valable sans signature.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80"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6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12" name="Rectangle 7712"/>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13" name="Rectangle 7713"/>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14" name="Rectangle 7714"/>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15" name="Rectangle 7715"/>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16" name="Rectangle 771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18" name="Rectangle 7718"/>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19" name="Rectangle 7719"/>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20" name="Rectangle 7720"/>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21" name="Rectangle 7721"/>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0436"/>
                <wp:effectExtent l="0" t="0" r="0" b="0"/>
                <wp:wrapNone/>
                <wp:docPr id="7722" name="Rectangle 7722"/>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23" name="Rectangle 7723"/>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24" name="Rectangle 7724"/>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25" name="Rectangle 7725"/>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26" name="Rectangle 7726"/>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27" name="Rectangle 772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29" name="Rectangle 7729"/>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30" name="Rectangle 7730"/>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31" name="Rectangle 7731"/>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32" name="Rectangle 7732"/>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55902"/>
                <wp:effectExtent l="0" t="0" r="0" b="0"/>
                <wp:wrapNone/>
                <wp:docPr id="7733" name="Rectangle 7733"/>
                <wp:cNvGraphicFramePr/>
                <a:graphic xmlns:a="http://schemas.openxmlformats.org/drawingml/2006/main">
                  <a:graphicData uri="http://schemas.microsoft.com/office/word/2010/wordprocessingShape">
                    <wps:wsp>
                      <wps:cNvSpPr/>
                      <wps:spPr bwMode="auto">
                        <a:xfrm>
                          <a:off x="541800" y="1205640"/>
                          <a:ext cx="6508440" cy="825590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34" name="Rectangle 7734"/>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35" name="Rectangle 7735"/>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36" name="Rectangle 7736"/>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37" name="Rectangle 7737"/>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38" name="Rectangle 773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40" name="Rectangle 7740"/>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41" name="Rectangle 7741"/>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42" name="Rectangle 7742"/>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43" name="Rectangle 7743"/>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79192"/>
                <wp:effectExtent l="0" t="0" r="0" b="0"/>
                <wp:wrapNone/>
                <wp:docPr id="7744" name="Rectangle 7744"/>
                <wp:cNvGraphicFramePr/>
                <a:graphic xmlns:a="http://schemas.openxmlformats.org/drawingml/2006/main">
                  <a:graphicData uri="http://schemas.microsoft.com/office/word/2010/wordprocessingShape">
                    <wps:wsp>
                      <wps:cNvSpPr/>
                      <wps:spPr bwMode="auto">
                        <a:xfrm>
                          <a:off x="541800" y="1205640"/>
                          <a:ext cx="6508440" cy="807919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45" name="Rectangle 7745"/>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46" name="Rectangle 7746"/>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47" name="Rectangle 7747"/>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48" name="Rectangle 7748"/>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49" name="Rectangle 774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51" name="Rectangle 7751"/>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52" name="Rectangle 7752"/>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53" name="Rectangle 7753"/>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54" name="Rectangle 7754"/>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808"/>
                <wp:effectExtent l="0" t="0" r="0" b="0"/>
                <wp:wrapNone/>
                <wp:docPr id="7755" name="Rectangle 7755"/>
                <wp:cNvGraphicFramePr/>
                <a:graphic xmlns:a="http://schemas.openxmlformats.org/drawingml/2006/main">
                  <a:graphicData uri="http://schemas.microsoft.com/office/word/2010/wordprocessingShape">
                    <wps:wsp>
                      <wps:cNvSpPr/>
                      <wps:spPr bwMode="auto">
                        <a:xfrm>
                          <a:off x="541800" y="1205640"/>
                          <a:ext cx="6508440" cy="828280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56" name="Rectangle 7756"/>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57" name="Rectangle 7757"/>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58" name="Rectangle 7758"/>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59" name="Rectangle 7759"/>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60" name="Rectangle 776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62" name="Rectangle 7762"/>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63" name="Rectangle 7763"/>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64" name="Rectangle 7764"/>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65" name="Rectangle 7765"/>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6978"/>
                <wp:effectExtent l="0" t="0" r="0" b="0"/>
                <wp:wrapNone/>
                <wp:docPr id="7766" name="Rectangle 7766"/>
                <wp:cNvGraphicFramePr/>
                <a:graphic xmlns:a="http://schemas.openxmlformats.org/drawingml/2006/main">
                  <a:graphicData uri="http://schemas.microsoft.com/office/word/2010/wordprocessingShape">
                    <wps:wsp>
                      <wps:cNvSpPr/>
                      <wps:spPr bwMode="auto">
                        <a:xfrm>
                          <a:off x="541800" y="1205640"/>
                          <a:ext cx="6508440" cy="839697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67" name="Rectangle 7767"/>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68" name="Rectangle 7768"/>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69" name="Rectangle 7769"/>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70" name="Rectangle 7770"/>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71" name="Rectangle 777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73" name="Rectangle 7773"/>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74" name="Rectangle 7774"/>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75" name="Rectangle 7775"/>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76" name="Rectangle 7776"/>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7777" name="Rectangle 7777"/>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78" name="Rectangle 7778"/>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79" name="Rectangle 7779"/>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80" name="Rectangle 7780"/>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81" name="Rectangle 7781"/>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82" name="Rectangle 778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84" name="Rectangle 7784"/>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85" name="Rectangle 7785"/>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786" name="Rectangle 7786"/>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787" name="Rectangle 7787"/>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40650"/>
                <wp:effectExtent l="0" t="0" r="0" b="0"/>
                <wp:wrapNone/>
                <wp:docPr id="7788" name="Rectangle 7788"/>
                <wp:cNvGraphicFramePr/>
                <a:graphic xmlns:a="http://schemas.openxmlformats.org/drawingml/2006/main">
                  <a:graphicData uri="http://schemas.microsoft.com/office/word/2010/wordprocessingShape">
                    <wps:wsp>
                      <wps:cNvSpPr/>
                      <wps:spPr bwMode="auto">
                        <a:xfrm>
                          <a:off x="541800" y="1205640"/>
                          <a:ext cx="6508440" cy="804065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792" name="Rectangle 7792"/>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793" name="Rectangle 7793"/>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794" name="Rectangle 7794"/>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795" name="Rectangle 7795"/>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96" name="Rectangle 779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7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798" name="Rectangle 7798"/>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799" name="Rectangle 7799"/>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800" name="Rectangle 7800"/>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801" name="Rectangle 7801"/>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5520"/>
                <wp:effectExtent l="0" t="0" r="0" b="0"/>
                <wp:wrapNone/>
                <wp:docPr id="7802" name="Rectangle 7802"/>
                <wp:cNvGraphicFramePr/>
                <a:graphic xmlns:a="http://schemas.openxmlformats.org/drawingml/2006/main">
                  <a:graphicData uri="http://schemas.microsoft.com/office/word/2010/wordprocessingShape">
                    <wps:wsp>
                      <wps:cNvSpPr/>
                      <wps:spPr bwMode="auto">
                        <a:xfrm>
                          <a:off x="541800" y="1205640"/>
                          <a:ext cx="6508440" cy="843552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803" name="Rectangle 7803"/>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804" name="Rectangle 7804"/>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805" name="Rectangle 7805"/>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806" name="Rectangle 7806"/>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807" name="Rectangle 780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8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809" name="Rectangle 7809"/>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810" name="Rectangle 7810"/>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811" name="Rectangle 7811"/>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812" name="Rectangle 7812"/>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4062"/>
                <wp:effectExtent l="0" t="0" r="0" b="0"/>
                <wp:wrapNone/>
                <wp:docPr id="7813" name="Rectangle 7813"/>
                <wp:cNvGraphicFramePr/>
                <a:graphic xmlns:a="http://schemas.openxmlformats.org/drawingml/2006/main">
                  <a:graphicData uri="http://schemas.microsoft.com/office/word/2010/wordprocessingShape">
                    <wps:wsp>
                      <wps:cNvSpPr/>
                      <wps:spPr bwMode="auto">
                        <a:xfrm>
                          <a:off x="541800" y="1205640"/>
                          <a:ext cx="6508440" cy="847406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814" name="Rectangle 7814"/>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815" name="Rectangle 7815"/>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816" name="Rectangle 7816"/>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817" name="Rectangle 7817"/>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818" name="Rectangle 78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8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820" name="Rectangle 7820"/>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821" name="Rectangle 7821"/>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822" name="Rectangle 7822"/>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823" name="Rectangle 7823"/>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208506"/>
                <wp:effectExtent l="0" t="0" r="0" b="0"/>
                <wp:wrapNone/>
                <wp:docPr id="7824" name="Rectangle 7824"/>
                <wp:cNvGraphicFramePr/>
                <a:graphic xmlns:a="http://schemas.openxmlformats.org/drawingml/2006/main">
                  <a:graphicData uri="http://schemas.microsoft.com/office/word/2010/wordprocessingShape">
                    <wps:wsp>
                      <wps:cNvSpPr/>
                      <wps:spPr bwMode="auto">
                        <a:xfrm>
                          <a:off x="541800" y="1205640"/>
                          <a:ext cx="6508440" cy="220850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7825" name="Rectangle 7825"/>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7826" name="Rectangle 7826"/>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03/05/2021 -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7827" name="Rectangle 7827"/>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OUD ETERNEL 2104748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7828" name="Rectangle 7828"/>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829" name="Rectangle 782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78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7831" name="Rectangle 7831"/>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7832" name="Rectangle 7832"/>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22.04.2021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7833" name="Rectangle 7833"/>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7834" name="Rectangle 7834"/>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4" w:h="16836"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921" Type="http://schemas.openxmlformats.org/officeDocument/2006/relationships/image" Target="/media/image7.jpg"/><Relationship Id="rId926" Type="http://schemas.openxmlformats.org/officeDocument/2006/relationships/image" Target="/media/image12.jpg"/><Relationship Id="rId3" Type="http://schemas.openxmlformats.org/officeDocument/2006/relationships/webSettings" Target="/word/webSettings.xml"/><Relationship Id="rId917" Type="http://schemas.openxmlformats.org/officeDocument/2006/relationships/image" Target="/media/image3.jpg"/><Relationship Id="rId925" Type="http://schemas.openxmlformats.org/officeDocument/2006/relationships/image" Target="/media/image11.jpg"/><Relationship Id="rId920" Type="http://schemas.openxmlformats.org/officeDocument/2006/relationships/image" Target="/media/image6.jpg"/><Relationship Id="rId2" Type="http://schemas.openxmlformats.org/officeDocument/2006/relationships/settings" Target="/word/settings.xml"/><Relationship Id="rId916" Type="http://schemas.openxmlformats.org/officeDocument/2006/relationships/image" Target="/media/image2.jpg"/><Relationship Id="rId924" Type="http://schemas.openxmlformats.org/officeDocument/2006/relationships/image" Target="/media/image10.jpg"/><Relationship Id="rId929" Type="http://schemas.openxmlformats.org/officeDocument/2006/relationships/image" Target="/media/image15.jpg"/><Relationship Id="rId932" Type="http://schemas.openxmlformats.org/officeDocument/2006/relationships/customXml" Target="../customXml/item3.xml"/><Relationship Id="rId1" Type="http://schemas.openxmlformats.org/officeDocument/2006/relationships/styles" Target="/word/styles.xml"/><Relationship Id="rId915" Type="http://schemas.openxmlformats.org/officeDocument/2006/relationships/image" Target="/media/image.jpg"/><Relationship Id="rId928" Type="http://schemas.openxmlformats.org/officeDocument/2006/relationships/image" Target="/media/image14.jpg"/><Relationship Id="rId5" Type="http://schemas.openxmlformats.org/officeDocument/2006/relationships/theme" Target="/word/theme/theme1.xml"/><Relationship Id="rId923" Type="http://schemas.openxmlformats.org/officeDocument/2006/relationships/image" Target="/media/image9.jpg"/><Relationship Id="rId931" Type="http://schemas.openxmlformats.org/officeDocument/2006/relationships/customXml" Target="../customXml/item2.xml"/><Relationship Id="rId919" Type="http://schemas.openxmlformats.org/officeDocument/2006/relationships/image" Target="/media/image5.jpg"/><Relationship Id="rId922" Type="http://schemas.openxmlformats.org/officeDocument/2006/relationships/image" Target="/media/image8.jpg"/><Relationship Id="rId927" Type="http://schemas.openxmlformats.org/officeDocument/2006/relationships/image" Target="/media/image13.jpg"/><Relationship Id="rId4" Type="http://schemas.openxmlformats.org/officeDocument/2006/relationships/fontTable" Target="/word/fontTable.xml"/><Relationship Id="rId918" Type="http://schemas.openxmlformats.org/officeDocument/2006/relationships/image" Target="/media/image4.jpg"/><Relationship Id="rId930" Type="http://schemas.openxmlformats.org/officeDocument/2006/relationships/customXml" Target="../customXml/item1.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Props1.xml><?xml version="1.0" encoding="utf-8"?>
<ds:datastoreItem xmlns:ds="http://schemas.openxmlformats.org/officeDocument/2006/customXml" ds:itemID="{194FF78D-3AE1-4D6D-B1E4-7BB1D8205FA8}"/>
</file>

<file path=customXml/itemProps2.xml><?xml version="1.0" encoding="utf-8"?>
<ds:datastoreItem xmlns:ds="http://schemas.openxmlformats.org/officeDocument/2006/customXml" ds:itemID="{0FF3AFE9-5B83-4DA5-9891-32D6F0B0D05B}"/>
</file>

<file path=customXml/itemProps3.xml><?xml version="1.0" encoding="utf-8"?>
<ds:datastoreItem xmlns:ds="http://schemas.openxmlformats.org/officeDocument/2006/customXml" ds:itemID="{EF5E0E66-99F6-4105-A0E4-22E333974DB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