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jpg" ContentType="image/jpeg"/>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e293dbe466794d6b"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2254"/>
                <wp:effectExtent l="0" t="0" r="0" b="0"/>
                <wp:wrapNone/>
                <wp:docPr id="2096" name="Rectangle 2096"/>
                <wp:cNvGraphicFramePr/>
                <a:graphic xmlns:a="http://schemas.openxmlformats.org/drawingml/2006/main">
                  <a:graphicData uri="http://schemas.microsoft.com/office/word/2010/wordprocessingShape">
                    <wps:wsp>
                      <wps:cNvSpPr/>
                      <wps:spPr bwMode="auto">
                        <a:xfrm>
                          <a:off x="541800" y="1205640"/>
                          <a:ext cx="6508440" cy="837225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568"/>
                              <w:gridCol w:w="2608"/>
                              <w:gridCol w:w="4480"/>
                            </w:tblGrid>
                            <w:tr>
                              <w:trPr>
                                <w:trHeight w:val="270" w:hRule="atLeast"/>
                              </w:trPr>
                              <w:tc>
                                <w:tcPr>
                                  <w:tcW w:w="10144" w:type="dxa"/>
                                  <w:gridSpan w:val="5"/>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 Identification de la substance/du mélange et de la société/l’entreprise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1.1 - Identificateur de produit</w:t>
                                  </w:r>
                                </w:p>
                              </w:tc>
                            </w:tr>
                            <w:tr>
                              <w:trPr>
                                <w:trHeight w:val="456"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BOUGIE MENTHE ET EUCALYPTUS 1913259 10%</w:t>
                                  </w:r>
                                </w:p>
                              </w:tc>
                            </w:tr>
                            <w:tr>
                              <w:trPr>
                                <w:trHeight w:val="228"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Nom chimique</w:t>
                                  </w:r>
                                </w:p>
                              </w:tc>
                              <w:tc>
                                <w:tcPr>
                                  <w:tcW w:w="7876"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8"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Mélange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5666"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Bougie parfumée à destination du grand public</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91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LAB SAS</w:t>
                                  </w:r>
                                </w:p>
                                <w:p>
                                  <w:pPr>
                                    <w:spacing w:before="0" w:after="0" w:line="220" w:lineRule="exact"/>
                                    <w:jc w:val="left"/>
                                  </w:pPr>
                                  <w:r>
                                    <w:rPr>
                                      <w:rFonts w:ascii="Arial" w:hAnsi="Arial" w:cs="Arial"/>
                                      <w:b w:val="false"/>
                                      <w:i w:val="false"/>
                                      <w:strike w:val="false"/>
                                      <w:color w:val="000000"/>
                                      <w:spacing w:val="0"/>
                                      <w:sz w:val="20"/>
                                      <w:u w:val="none"/>
                                    </w:rPr>
                                    <w:t xml:space="preserve">1, rue de la clé des champs</w:t>
                                  </w:r>
                                </w:p>
                                <w:p>
                                  <w:pPr>
                                    <w:spacing w:before="0" w:after="0" w:line="220" w:lineRule="exact"/>
                                    <w:jc w:val="left"/>
                                  </w:pPr>
                                  <w:r>
                                    <w:rPr>
                                      <w:rFonts w:ascii="Arial" w:hAnsi="Arial" w:cs="Arial"/>
                                      <w:b w:val="false"/>
                                      <w:i w:val="false"/>
                                      <w:strike w:val="false"/>
                                      <w:color w:val="000000"/>
                                      <w:spacing w:val="0"/>
                                      <w:sz w:val="20"/>
                                      <w:u w:val="none"/>
                                    </w:rPr>
                                    <w:t xml:space="preserve">68600 Volgelsheim France</w:t>
                                  </w:r>
                                </w:p>
                                <w:p>
                                  <w:pPr>
                                    <w:spacing w:before="0" w:after="0" w:line="220" w:lineRule="exact"/>
                                    <w:jc w:val="left"/>
                                  </w:pPr>
                                  <w:r>
                                    <w:rPr>
                                      <w:rFonts w:ascii="Arial" w:hAnsi="Arial" w:cs="Arial"/>
                                      <w:b w:val="false"/>
                                      <w:i w:val="false"/>
                                      <w:strike w:val="false"/>
                                      <w:color w:val="000000"/>
                                      <w:spacing w:val="0"/>
                                      <w:sz w:val="20"/>
                                      <w:u w:val="none"/>
                                    </w:rPr>
                                    <w:t xml:space="preserve">Téléphone : 03 89 22 77 65</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ORFILA (INRS) + 33 (0)1 45 42 59 59 France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Mention d'avertissement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Pictogrammes</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Mentions de danger</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Conseils de prudence</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P101</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8"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P102</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8"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P103</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Lire l'étiquette avant utilisation.</w:t>
                                  </w:r>
                                </w:p>
                              </w:tc>
                            </w:tr>
                            <w:tr>
                              <w:trPr>
                                <w:trHeight w:val="228"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Phrases EUH</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7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EUH208</w:t>
                                  </w:r>
                                </w:p>
                              </w:tc>
                              <w:tc>
                                <w:tcPr>
                                  <w:tcW w:w="7650" w:type="dxa"/>
                                  <w:gridSpan w:val="3"/>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Contient eucalyptol (470-82-6) | d-limonene (r)-p-mentha-1,8-diene (5989-27-5) | d-p-mentha-1(6),8-dien-2-one (carvone) (99-49-0) | p-menthan-3-one (menthone) (10458-14-7) . Peut produire une réaction allergique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Non applicable</w:t>
                                  </w:r>
                                </w:p>
                              </w:tc>
                            </w:tr>
                          </w:tbl>
                          <w:tbl>
                            <w:tblPr>
                              <w:tblLayout w:type="fixed"/>
                              <w:tblInd w:w="0" w:type="dxa"/>
                              <w:tblCellMar>
                                <w:left w:w="0" w:type="dxa"/>
                                <w:right w:w="0" w:type="dxa"/>
                              </w:tblCellMar>
                            </w:tblPr>
                            <w:tblGrid>
                              <w:gridCol w:w="2268"/>
                              <w:gridCol w:w="2268"/>
                              <w:gridCol w:w="1078"/>
                              <w:gridCol w:w="2268"/>
                              <w:gridCol w:w="2268"/>
                            </w:tblGrid>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Nom chimique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Concentration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eucalyptol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470-82-6</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207-431-5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0,326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Flam. Liq. 3 - H226</w:t>
                                  </w:r>
                                </w:p>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p-menthan-3-one (menthone)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10458-14-7</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233-944-9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0,194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Skin Irrit. 2 - H315</w:t>
                                  </w:r>
                                </w:p>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d-p-mentha-1(6),8-dien-2-one (carvone)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99-49-0</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80" w:lineRule="exact"/>
                                    <w:jc w:val="left"/>
                                  </w:pPr>
                                  <w:r>
                                    <w:rPr>
                                      <w:rFonts w:ascii="Arial" w:hAnsi="Arial" w:cs="Arial"/>
                                      <w:b w:val="false"/>
                                      <w:i w:val="false"/>
                                      <w:strike w:val="false"/>
                                      <w:color w:val="000000"/>
                                      <w:spacing w:val="0"/>
                                      <w:sz w:val="16"/>
                                      <w:u w:val="none"/>
                                    </w:rPr>
                                    <w:t xml:space="preserve">N°CE : 202-759-5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0,131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d-limonene (r)-p-mentha-1,8-diene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n°CAS : 5989-27-5</w:t>
                                  </w:r>
                                </w:p>
                                <w:p>
                                  <w:pPr>
                                    <w:spacing w:before="0" w:after="0" w:line="180" w:lineRule="exact"/>
                                    <w:jc w:val="left"/>
                                  </w:pPr>
                                  <w:r>
                                    <w:rPr>
                                      <w:rFonts w:ascii="Arial" w:hAnsi="Arial" w:cs="Arial"/>
                                      <w:b w:val="false"/>
                                      <w:i w:val="false"/>
                                      <w:strike w:val="false"/>
                                      <w:color w:val="000000"/>
                                      <w:spacing w:val="0"/>
                                      <w:sz w:val="16"/>
                                      <w:u w:val="none"/>
                                    </w:rPr>
                                    <w:t xml:space="preserve">Numéro d´identification UE : 601-029-00-7</w:t>
                                  </w:r>
                                </w:p>
                                <w:p>
                                  <w:pPr>
                                    <w:spacing w:before="0" w:after="0" w:line="18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0,1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Aquatic Acute 1 - H400</w:t>
                                  </w:r>
                                </w:p>
                                <w:p>
                                  <w:pPr>
                                    <w:spacing w:before="0" w:after="0" w:line="18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80" w:lineRule="exact"/>
                                    <w:jc w:val="left"/>
                                  </w:pPr>
                                  <w:r>
                                    <w:rPr>
                                      <w:rFonts w:ascii="Arial" w:hAnsi="Arial" w:cs="Arial"/>
                                      <w:b w:val="false"/>
                                      <w:i w:val="false"/>
                                      <w:strike w:val="false"/>
                                      <w:color w:val="000000"/>
                                      <w:spacing w:val="0"/>
                                      <w:sz w:val="16"/>
                                      <w:u w:val="none"/>
                                    </w:rPr>
                                    <w:t xml:space="preserve">Asp. Tox. 1 - H304</w:t>
                                  </w:r>
                                </w:p>
                                <w:p>
                                  <w:pPr>
                                    <w:spacing w:before="0" w:after="0" w:line="180" w:lineRule="exact"/>
                                    <w:jc w:val="left"/>
                                  </w:pPr>
                                  <w:r>
                                    <w:rPr>
                                      <w:rFonts w:ascii="Arial" w:hAnsi="Arial" w:cs="Arial"/>
                                      <w:b w:val="false"/>
                                      <w:i w:val="false"/>
                                      <w:strike w:val="false"/>
                                      <w:color w:val="000000"/>
                                      <w:spacing w:val="0"/>
                                      <w:sz w:val="16"/>
                                      <w:u w:val="none"/>
                                    </w:rPr>
                                    <w:t xml:space="preserve">Flam. Liq. 3 - H226</w:t>
                                  </w:r>
                                </w:p>
                                <w:p>
                                  <w:pPr>
                                    <w:spacing w:before="0" w:after="0" w:line="180" w:lineRule="exact"/>
                                    <w:jc w:val="left"/>
                                  </w:pPr>
                                  <w:r>
                                    <w:rPr>
                                      <w:rFonts w:ascii="Arial" w:hAnsi="Arial" w:cs="Arial"/>
                                      <w:b w:val="false"/>
                                      <w:i w:val="false"/>
                                      <w:strike w:val="false"/>
                                      <w:color w:val="000000"/>
                                      <w:spacing w:val="0"/>
                                      <w:sz w:val="16"/>
                                      <w:u w:val="none"/>
                                    </w:rPr>
                                    <w:t xml:space="preserve">Skin Irrit. 2 - H315</w:t>
                                  </w:r>
                                </w:p>
                                <w:p>
                                  <w:pPr>
                                    <w:spacing w:before="0" w:after="0" w:line="18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80" w:lineRule="exact"/>
                                    <w:jc w:val="left"/>
                                  </w:pPr>
                                  <w:r>
                                    <w:rPr>
                                      <w:rFonts w:ascii="Arial" w:hAnsi="Arial" w:cs="Arial"/>
                                      <w:b w:val="false"/>
                                      <w:i w:val="false"/>
                                      <w:strike w:val="false"/>
                                      <w:color w:val="000000"/>
                                      <w:spacing w:val="0"/>
                                      <w:sz w:val="16"/>
                                      <w:u w:val="none"/>
                                    </w:rPr>
                                    <w:t xml:space="preserve">Facteur M: 1 / 1</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4.1 - Description des premiers secours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En cas d'inhalation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aucunes mesures particulières ne sont exigées.</w:t>
                                  </w: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Veiller à un apport d'air frais.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Après contact avec la peau</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Se laver immédiatement avec: Eau</w:t>
                                  </w:r>
                                </w:p>
                              </w:tc>
                            </w:tr>
                            <w:tr>
                              <w:trPr>
                                <w:trHeight w:val="456"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En cas de doute ou s'il y a des symptômes, demander un conseil médical.</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Après contact avec les yeux</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En cas d'irritation oculaire, consulter un ophtamologue.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En cas d'ingestion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NE PAS faire vomir.</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Symptômes et effets - En cas d'ingestion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5.1 - Moyen d'extinction</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Moyens d'extinction appropriés</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ABC-poudre</w:t>
                                  </w: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Dioxyde de carbone (CO2)</w:t>
                                  </w: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Mousse</w:t>
                                  </w: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Poudre d'extinction</w:t>
                                  </w:r>
                                </w:p>
                              </w:tc>
                            </w:tr>
                          </w:tbl>
                          <w:tbl>
                            <w:tblPr>
                              <w:tblLayout w:type="fixed"/>
                              <w:tblInd w:w="0" w:type="dxa"/>
                              <w:tblCellMar>
                                <w:left w:w="0" w:type="dxa"/>
                                <w:right w:w="0" w:type="dxa"/>
                              </w:tblCellMar>
                            </w:tblPr>
                            <w:tblGrid>
                              <w:gridCol w:w="4536"/>
                              <w:gridCol w:w="5614"/>
                            </w:tblGrid>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Moyens d'extinction inappropriés</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Jet d'eau à grand débit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Produits de décomposition dangereux</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Porter un appareil respiratoire autonome et une combinaison de protection contre les substances chimiques.</w:t>
                                  </w: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Si possible sans risque, éloigner les récipients en bon état de la zone dangereuse.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Pour les non-secouristes</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Eloigner toute source d'ignition.</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Éviter la formation de poussière.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Pour les secouristes</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Méthodes et matériel de confinement</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Méthodes et matériel de nettoyage</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Recueillir mécaniquement.</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Rincer abondamment avec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Techniques inappropriées</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6.4 - Référence à d'autres sections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Evacuation: voir rubrique 13</w:t>
                                  </w:r>
                                </w:p>
                              </w:tc>
                            </w:tr>
                            <w:tr>
                              <w:trPr>
                                <w:trHeight w:val="228"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Protection individuelle: voir rubrique 8</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84"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Recommandation</w:t>
                                  </w: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Il est recommandé de concevoir les méthodes de travail de manière à exclure les risques suivants: Génération/dégagement de poussière</w:t>
                                  </w:r>
                                </w:p>
                              </w:tc>
                            </w:tr>
                            <w:tr>
                              <w:trPr>
                                <w:trHeight w:val="684"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Il est recommandé de concevoir les méthodes de travail de manière à exclure les risques suivants: génération/formation d'aérosols</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Ne pas fumer pendant l'utilisation.</w:t>
                                  </w:r>
                                </w:p>
                              </w:tc>
                            </w:tr>
                            <w:tr>
                              <w:trPr>
                                <w:trHeight w:val="684"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Utiliser des installations, appareillages, dispositifs d'aspiration, outillage, etc équipés d'une protection antidéflagrante.</w:t>
                                  </w: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608"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Utiliser seulement dans des zones bien ventilées.</w:t>
                                  </w:r>
                                </w:p>
                              </w:tc>
                            </w:tr>
                          </w:tbl>
                          <w:tbl>
                            <w:tblPr>
                              <w:tblLayout w:type="fixed"/>
                              <w:tblInd w:w="0" w:type="dxa"/>
                              <w:tblCellMar>
                                <w:left w:w="0" w:type="dxa"/>
                                <w:right w:w="0" w:type="dxa"/>
                              </w:tblCellMar>
                            </w:tblPr>
                            <w:tblGrid>
                              <w:gridCol w:w="2552"/>
                              <w:gridCol w:w="1984"/>
                              <w:gridCol w:w="568"/>
                              <w:gridCol w:w="2552"/>
                              <w:gridCol w:w="568"/>
                              <w:gridCol w:w="1928"/>
                            </w:tblGrid>
                            <w:tr>
                              <w:trPr>
                                <w:trHeight w:val="456"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5608"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7.2 - Conditions d’un stockage sûr, y compris d’éventuelles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Classe de stockage Solides inflammables</w:t>
                                  </w:r>
                                </w:p>
                              </w:tc>
                            </w:tr>
                            <w:tr>
                              <w:trPr>
                                <w:trHeight w:val="228"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Conserver le récipient bien fermé et dans un endroit bien ventilé.</w:t>
                                  </w:r>
                                </w:p>
                              </w:tc>
                            </w:tr>
                            <w:tr>
                              <w:trPr>
                                <w:trHeight w:val="228"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Ne pas stocker ensemble avec: Matériau combustible</w:t>
                                  </w:r>
                                </w:p>
                              </w:tc>
                            </w:tr>
                            <w:tr>
                              <w:trPr>
                                <w:trHeight w:val="228"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Protéger contre: Forte chaleur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8.2 - Contrôle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Contrôles techniques appropriés</w:t>
                                  </w:r>
                                </w:p>
                              </w:tc>
                              <w:tc>
                                <w:tcPr>
                                  <w:tcW w:w="5608"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4" w:hRule="exac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368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Protection du corps appropriée: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21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Solide</w:t>
                                  </w:r>
                                </w:p>
                              </w:tc>
                            </w:tr>
                            <w:tr>
                              <w:trPr>
                                <w:trHeight w:val="228"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Blanc</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&gt; 100 °C</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Ce produit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Le produit est chimiquement stable si les conditions de stockage, d'utilisation et les températures préconisées sont respectées.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Des réactions dangereuses ne se produisent pas si utilisé et stocké correctement.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En cas d'échauffement: Risque d'inflammation</w:t>
                                  </w: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En cas d'une fine répartition/pulvérisation/nébulisation: Risque d'un coup de poussière.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11.1 - Informations sur les effets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LD50 oral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LD50 dermal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LD50 dermal (rabbit)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LC50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LC50 inhalation dusts and mists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LC50 inhalation vapours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Compte tenu des données disponibles, les critères de classification ne sont pas remplis.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Cancerogénité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8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84"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EC50 48 hr crustacea</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LC50 96 hr fish</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ErC50 algae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ErC50 other aquatic plants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NOEC chronic fish</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NOEC chronic crustacea</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NOEC chronic algae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NOEC chronic other aquatic plants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La substance/le mélange ne satisfont pas aux critères de toxicité aiguë pour le milieu aquatique selon l'annexe I du règlement (CE) N° 1272/2008 [CLP].</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12.3 - Potentiel de bioaccumulation</w:t>
                                  </w:r>
                                </w:p>
                              </w:tc>
                            </w:tr>
                          </w:tbl>
                          <w:tbl>
                            <w:tblPr>
                              <w:tblLayout w:type="fixed"/>
                              <w:tblInd w:w="0" w:type="dxa"/>
                              <w:tblCellMar>
                                <w:left w:w="0" w:type="dxa"/>
                                <w:right w:w="0" w:type="dxa"/>
                              </w:tblCellMar>
                            </w:tblPr>
                            <w:tblGrid>
                              <w:gridCol w:w="4536"/>
                              <w:gridCol w:w="568"/>
                              <w:gridCol w:w="5046"/>
                            </w:tblGrid>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218"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indication relative à un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12.7 - Autres effets nocifs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Méthodes de traitement des déchets</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L'élimination doit se faire selon les prescriptions des autorités locales.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Evacuation des eaux</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Précautions particulières à prendre</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4532"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14.1 - Numéro ONU</w:t>
                                  </w: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14.2 - Nom d’expédition des Nations unies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14.7 - Transport en vrac conformément à l’annexe II de la convention Marpol 73/78 et au recueil IBC</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Non applicable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15: Informations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50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456"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228"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228"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52"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56"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Evaluation de la sécurité chimique  effectuée pour le produit</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0"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6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6"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Description des modifications</w:t>
                                  </w:r>
                                </w:p>
                              </w:tc>
                            </w:tr>
                            <w:tr>
                              <w:trPr>
                                <w:trHeight w:val="229"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22/03/2021</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8"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45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Asp. Tox.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Flam. Liq.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Skin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29"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Skin Sens. 1B</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596"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0"/>
                                      <w:u w:val="none"/>
                                    </w:rPr>
                                    <w:t xml:space="preserve">Les renseignements contenus dans cette fiche sont basés sur l’état de nos connaissances relatives au produit concerné, à la date indiquée. Le but de cette Fiche de Données de Sécurité est de fournir des informations à l’utilisateur, pour lui permettre d’évaluer les risques pour la sécurité et la santé lors du transport, du stockage ou de l’utilisation du produit sur le lieu de travail. L’attention des utilisateurs est en outre attirée sur les risques éventuels encourus lorsqu’un produit est utilisé à d’autres usages que celui pour lequel il est conçu.</w:t>
                                  </w:r>
                                </w:p>
                                <w:p>
                                  <w:pPr>
                                    <w:spacing w:before="0" w:after="0" w:line="220" w:lineRule="exact"/>
                                    <w:jc w:val="left"/>
                                  </w:pPr>
                                  <w:r>
                                    <w:rPr>
                                      <w:rFonts w:ascii="Arial" w:hAnsi="Arial" w:cs="Arial"/>
                                      <w:b w:val="false"/>
                                      <w:i w:val="false"/>
                                      <w:strike w:val="false"/>
                                      <w:color w:val="000000"/>
                                      <w:spacing w:val="0"/>
                                      <w:sz w:val="20"/>
                                      <w:u w:val="none"/>
                                    </w:rPr>
                                    <w:t xml:space="preserve"> </w:t>
                                  </w:r>
                                </w:p>
                                <w:p>
                                  <w:pPr>
                                    <w:spacing w:before="0" w:after="0" w:line="220" w:lineRule="exact"/>
                                    <w:jc w:val="left"/>
                                  </w:pPr>
                                  <w:r>
                                    <w:rPr>
                                      <w:rFonts w:ascii="Arial" w:hAnsi="Arial" w:cs="Arial"/>
                                      <w:b w:val="false"/>
                                      <w:i w:val="false"/>
                                      <w:strike w:val="false"/>
                                      <w:color w:val="000000"/>
                                      <w:spacing w:val="0"/>
                                      <w:sz w:val="20"/>
                                      <w:u w:val="none"/>
                                    </w:rPr>
                                    <w:t xml:space="preserve">Document généré informatiquement, valable sans signature.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80"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6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2097" name="Rectangle 2097"/>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2098" name="Rectangle 2098"/>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22/03/2021 -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2099" name="Rectangle 2099"/>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MENTHE ET EUCALYPTUS 1913259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2100" name="Rectangle 2100"/>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01" name="Rectangle 210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10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2103" name="Rectangle 2103"/>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2104" name="Rectangle 2104"/>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2105" name="Rectangle 2105"/>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2106" name="Rectangle 2106"/>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3712"/>
                <wp:effectExtent l="0" t="0" r="0" b="0"/>
                <wp:wrapNone/>
                <wp:docPr id="2107" name="Rectangle 2107"/>
                <wp:cNvGraphicFramePr/>
                <a:graphic xmlns:a="http://schemas.openxmlformats.org/drawingml/2006/main">
                  <a:graphicData uri="http://schemas.microsoft.com/office/word/2010/wordprocessingShape">
                    <wps:wsp>
                      <wps:cNvSpPr/>
                      <wps:spPr bwMode="auto">
                        <a:xfrm>
                          <a:off x="541800" y="1205640"/>
                          <a:ext cx="6508440" cy="833371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2108" name="Rectangle 2108"/>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2/8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2109" name="Rectangle 2109"/>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22/03/2021 -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2110" name="Rectangle 2110"/>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MENTHE ET EUCALYPTUS 1913259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2111" name="Rectangle 2111"/>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12" name="Rectangle 211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11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2114" name="Rectangle 2114"/>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2115" name="Rectangle 2115"/>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2116" name="Rectangle 2116"/>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2117" name="Rectangle 2117"/>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5348"/>
                <wp:effectExtent l="0" t="0" r="0" b="0"/>
                <wp:wrapNone/>
                <wp:docPr id="2118" name="Rectangle 2118"/>
                <wp:cNvGraphicFramePr/>
                <a:graphic xmlns:a="http://schemas.openxmlformats.org/drawingml/2006/main">
                  <a:graphicData uri="http://schemas.microsoft.com/office/word/2010/wordprocessingShape">
                    <wps:wsp>
                      <wps:cNvSpPr/>
                      <wps:spPr bwMode="auto">
                        <a:xfrm>
                          <a:off x="541800" y="1205640"/>
                          <a:ext cx="6508440" cy="8345348"/>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2119" name="Rectangle 2119"/>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3/8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2120" name="Rectangle 2120"/>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22/03/2021 -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2121" name="Rectangle 2121"/>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MENTHE ET EUCALYPTUS 1913259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2122" name="Rectangle 2122"/>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23" name="Rectangle 212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12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2125" name="Rectangle 2125"/>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2126" name="Rectangle 2126"/>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2127" name="Rectangle 2127"/>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2128" name="Rectangle 2128"/>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6070"/>
                <wp:effectExtent l="0" t="0" r="0" b="0"/>
                <wp:wrapNone/>
                <wp:docPr id="2129" name="Rectangle 2129"/>
                <wp:cNvGraphicFramePr/>
                <a:graphic xmlns:a="http://schemas.openxmlformats.org/drawingml/2006/main">
                  <a:graphicData uri="http://schemas.microsoft.com/office/word/2010/wordprocessingShape">
                    <wps:wsp>
                      <wps:cNvSpPr/>
                      <wps:spPr bwMode="auto">
                        <a:xfrm>
                          <a:off x="541800" y="1205640"/>
                          <a:ext cx="6508440" cy="8386070"/>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2131" name="Rectangle 2131"/>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4/8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2132" name="Rectangle 2132"/>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22/03/2021 -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2133" name="Rectangle 2133"/>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MENTHE ET EUCALYPTUS 1913259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2134" name="Rectangle 2134"/>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35" name="Rectangle 213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13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2137" name="Rectangle 2137"/>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2138" name="Rectangle 2138"/>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2139" name="Rectangle 2139"/>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2140" name="Rectangle 2140"/>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9164"/>
                <wp:effectExtent l="0" t="0" r="0" b="0"/>
                <wp:wrapNone/>
                <wp:docPr id="2141" name="Rectangle 2141"/>
                <wp:cNvGraphicFramePr/>
                <a:graphic xmlns:a="http://schemas.openxmlformats.org/drawingml/2006/main">
                  <a:graphicData uri="http://schemas.microsoft.com/office/word/2010/wordprocessingShape">
                    <wps:wsp>
                      <wps:cNvSpPr/>
                      <wps:spPr bwMode="auto">
                        <a:xfrm>
                          <a:off x="541800" y="1205640"/>
                          <a:ext cx="6508440" cy="835916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2142" name="Rectangle 2142"/>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2143" name="Rectangle 2143"/>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22/03/2021 -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2144" name="Rectangle 2144"/>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MENTHE ET EUCALYPTUS 1913259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2145" name="Rectangle 2145"/>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46" name="Rectangle 214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14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2148" name="Rectangle 2148"/>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2149" name="Rectangle 2149"/>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2150" name="Rectangle 2150"/>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2151" name="Rectangle 2151"/>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0256"/>
                <wp:effectExtent l="0" t="0" r="0" b="0"/>
                <wp:wrapNone/>
                <wp:docPr id="2152" name="Rectangle 2152"/>
                <wp:cNvGraphicFramePr/>
                <a:graphic xmlns:a="http://schemas.openxmlformats.org/drawingml/2006/main">
                  <a:graphicData uri="http://schemas.microsoft.com/office/word/2010/wordprocessingShape">
                    <wps:wsp>
                      <wps:cNvSpPr/>
                      <wps:spPr bwMode="auto">
                        <a:xfrm>
                          <a:off x="541800" y="1205640"/>
                          <a:ext cx="6508440" cy="834025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2153" name="Rectangle 2153"/>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6/8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2154" name="Rectangle 2154"/>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22/03/2021 -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2155" name="Rectangle 2155"/>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MENTHE ET EUCALYPTUS 1913259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2156" name="Rectangle 2156"/>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57" name="Rectangle 215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15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2159" name="Rectangle 2159"/>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2160" name="Rectangle 2160"/>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2161" name="Rectangle 2161"/>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2162" name="Rectangle 2162"/>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768678"/>
                <wp:effectExtent l="0" t="0" r="0" b="0"/>
                <wp:wrapNone/>
                <wp:docPr id="2163" name="Rectangle 2163"/>
                <wp:cNvGraphicFramePr/>
                <a:graphic xmlns:a="http://schemas.openxmlformats.org/drawingml/2006/main">
                  <a:graphicData uri="http://schemas.microsoft.com/office/word/2010/wordprocessingShape">
                    <wps:wsp>
                      <wps:cNvSpPr/>
                      <wps:spPr bwMode="auto">
                        <a:xfrm>
                          <a:off x="541800" y="1205640"/>
                          <a:ext cx="6508440" cy="776867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2164" name="Rectangle 2164"/>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2165" name="Rectangle 2165"/>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22/03/2021 -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2166" name="Rectangle 2166"/>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MENTHE ET EUCALYPTUS 1913259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2167" name="Rectangle 2167"/>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68" name="Rectangle 216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16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2170" name="Rectangle 2170"/>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2171" name="Rectangle 2171"/>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2172" name="Rectangle 2172"/>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2173" name="Rectangle 2173"/>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6117206"/>
                <wp:effectExtent l="0" t="0" r="0" b="0"/>
                <wp:wrapNone/>
                <wp:docPr id="2174" name="Rectangle 2174"/>
                <wp:cNvGraphicFramePr/>
                <a:graphic xmlns:a="http://schemas.openxmlformats.org/drawingml/2006/main">
                  <a:graphicData uri="http://schemas.microsoft.com/office/word/2010/wordprocessingShape">
                    <wps:wsp>
                      <wps:cNvSpPr/>
                      <wps:spPr bwMode="auto">
                        <a:xfrm>
                          <a:off x="541800" y="1205640"/>
                          <a:ext cx="6508440" cy="611720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4720"/>
                <wp:effectExtent l="0" t="0" r="0" b="0"/>
                <wp:wrapNone/>
                <wp:docPr id="2175" name="Rectangle 2175"/>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pPr>
                              <w:spacing w:before="0" w:after="0" w:line="220" w:lineRule="exact"/>
                              <w:jc w:val="right"/>
                            </w:pPr>
                            <w:r>
                              <w:rPr>
                                <w:rFonts w:ascii="Arial" w:hAnsi="Arial" w:cs="Arial"/>
                                <w:b w:val="false"/>
                                <w:i w:val="false"/>
                                <w:strike w:val="false"/>
                                <w:color w:val="000000"/>
                                <w:spacing w:val="0"/>
                                <w:sz w:val="20"/>
                                <w:u w:val="none"/>
                              </w:rPr>
                              <w:t xml:space="preserve">8/8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4720"/>
                <wp:effectExtent l="0" t="0" r="0" b="0"/>
                <wp:wrapNone/>
                <wp:docPr id="2176" name="Rectangle 2176"/>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pPr>
                              <w:spacing w:before="0" w:after="0" w:line="220" w:lineRule="exact"/>
                              <w:jc w:val="left"/>
                            </w:pPr>
                            <w:r>
                              <w:rPr>
                                <w:rFonts w:ascii="Arial" w:hAnsi="Arial" w:cs="Arial"/>
                                <w:b w:val="false"/>
                                <w:i w:val="false"/>
                                <w:strike w:val="false"/>
                                <w:color w:val="000000"/>
                                <w:spacing w:val="0"/>
                                <w:sz w:val="20"/>
                                <w:u w:val="none"/>
                              </w:rPr>
                              <w:t xml:space="preserve">22/03/2021 -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756000</wp:posOffset>
                </wp:positionV>
                <wp:extent cx="6480000" cy="205560"/>
                <wp:effectExtent l="0" t="0" r="0" b="0"/>
                <wp:wrapNone/>
                <wp:docPr id="2177" name="Rectangle 2177"/>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pPr>
                              <w:spacing w:before="0" w:after="0" w:line="300" w:lineRule="exact"/>
                              <w:jc w:val="center"/>
                            </w:pPr>
                            <w:r>
                              <w:rPr>
                                <w:rFonts w:ascii="Arial" w:hAnsi="Arial" w:cs="Arial"/>
                                <w:b w:val="true"/>
                                <w:i w:val="false"/>
                                <w:strike w:val="false"/>
                                <w:color w:val="000000"/>
                                <w:spacing w:val="0"/>
                                <w:sz w:val="28"/>
                                <w:u w:val="none"/>
                              </w:rPr>
                              <w:t xml:space="preserve">BOUGIE MENTHE ET EUCALYPTUS 1913259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720000</wp:posOffset>
                </wp:positionV>
                <wp:extent cx="6501600" cy="0"/>
                <wp:effectExtent l="0" t="0" r="0" b="0"/>
                <wp:wrapNone/>
                <wp:docPr id="2178" name="Rectangle 2178"/>
                <wp:cNvGraphicFramePr/>
                <a:graphic xmlns:a="http://schemas.openxmlformats.org/drawingml/2006/main">
                  <a:graphicData uri="http://schemas.microsoft.com/office/word/2010/wordprocessingShape">
                    <wps:wsp>
                      <wps:cNvSpPr/>
                      <wps:spPr bwMode="auto">
                        <a:xfrm>
                          <a:off x="540000" y="720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79" name="Rectangle 217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18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1008000</wp:posOffset>
                </wp:positionV>
                <wp:extent cx="6501600" cy="0"/>
                <wp:effectExtent l="0" t="0" r="0" b="0"/>
                <wp:wrapNone/>
                <wp:docPr id="2181" name="Rectangle 2181"/>
                <wp:cNvGraphicFramePr/>
                <a:graphic xmlns:a="http://schemas.openxmlformats.org/drawingml/2006/main">
                  <a:graphicData uri="http://schemas.microsoft.com/office/word/2010/wordprocessingShape">
                    <wps:wsp>
                      <wps:cNvSpPr/>
                      <wps:spPr bwMode="auto">
                        <a:xfrm>
                          <a:off x="540000" y="10080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154440</wp:posOffset>
                </wp:positionV>
                <wp:extent cx="1700640" cy="231480"/>
                <wp:effectExtent l="0" t="0" r="0" b="0"/>
                <wp:wrapNone/>
                <wp:docPr id="2182" name="Rectangle 2182"/>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pPr>
                              <w:spacing w:before="0" w:after="0" w:line="180" w:lineRule="exact"/>
                              <w:jc w:val="right"/>
                            </w:pPr>
                            <w:r>
                              <w:rPr>
                                <w:rFonts w:ascii="Arial" w:hAnsi="Arial" w:cs="Arial"/>
                                <w:b w:val="false"/>
                                <w:i w:val="false"/>
                                <w:strike w:val="false"/>
                                <w:color w:val="000000"/>
                                <w:spacing w:val="0"/>
                                <w:sz w:val="16"/>
                                <w:u w:val="none"/>
                              </w:rPr>
                              <w:t xml:space="preserve">Version : 1</w:t>
                            </w:r>
                          </w:p>
                          <w:p>
                            <w:pPr>
                              <w:spacing w:before="0" w:after="0" w:line="180" w:lineRule="exact"/>
                              <w:jc w:val="right"/>
                            </w:pPr>
                            <w:r>
                              <w:rPr>
                                <w:rFonts w:ascii="Arial" w:hAnsi="Arial" w:cs="Arial"/>
                                <w:b w:val="false"/>
                                <w:i w:val="false"/>
                                <w:strike w:val="false"/>
                                <w:color w:val="000000"/>
                                <w:spacing w:val="0"/>
                                <w:sz w:val="16"/>
                                <w:u w:val="none"/>
                              </w:rPr>
                              <w:t xml:space="preserve">Date d'émission : 22.03.2021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7000"/>
                <wp:effectExtent l="0" t="0" r="0" b="0"/>
                <wp:wrapNone/>
                <wp:docPr id="2183" name="Rectangle 2183"/>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pPr>
                              <w:spacing w:before="0" w:after="0" w:line="18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154440</wp:posOffset>
                </wp:positionV>
                <wp:extent cx="1936800" cy="241200"/>
                <wp:effectExtent l="0" t="0" r="0" b="0"/>
                <wp:wrapNone/>
                <wp:docPr id="2184" name="Rectangle 2184"/>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8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4" w:h="16836"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921" Type="http://schemas.openxmlformats.org/officeDocument/2006/relationships/image" Target="/media/image7.jpg"/><Relationship Id="rId926" Type="http://schemas.openxmlformats.org/officeDocument/2006/relationships/customXml" Target="../customXml/item3.xml"/><Relationship Id="rId3" Type="http://schemas.openxmlformats.org/officeDocument/2006/relationships/webSettings" Target="/word/webSettings.xml"/><Relationship Id="rId917" Type="http://schemas.openxmlformats.org/officeDocument/2006/relationships/image" Target="/media/image3.jpg"/><Relationship Id="rId925" Type="http://schemas.openxmlformats.org/officeDocument/2006/relationships/customXml" Target="../customXml/item2.xml"/><Relationship Id="rId920" Type="http://schemas.openxmlformats.org/officeDocument/2006/relationships/image" Target="/media/image6.jpg"/><Relationship Id="rId2" Type="http://schemas.openxmlformats.org/officeDocument/2006/relationships/settings" Target="/word/settings.xml"/><Relationship Id="rId916" Type="http://schemas.openxmlformats.org/officeDocument/2006/relationships/image" Target="/media/image2.jpg"/><Relationship Id="rId924" Type="http://schemas.openxmlformats.org/officeDocument/2006/relationships/customXml" Target="../customXml/item1.xml"/><Relationship Id="rId1" Type="http://schemas.openxmlformats.org/officeDocument/2006/relationships/styles" Target="/word/styles.xml"/><Relationship Id="rId915" Type="http://schemas.openxmlformats.org/officeDocument/2006/relationships/image" Target="/media/image.jpg"/><Relationship Id="rId5" Type="http://schemas.openxmlformats.org/officeDocument/2006/relationships/theme" Target="/word/theme/theme1.xml"/><Relationship Id="rId923" Type="http://schemas.openxmlformats.org/officeDocument/2006/relationships/image" Target="/media/image9.jpg"/><Relationship Id="rId919" Type="http://schemas.openxmlformats.org/officeDocument/2006/relationships/image" Target="/media/image5.jpg"/><Relationship Id="rId922" Type="http://schemas.openxmlformats.org/officeDocument/2006/relationships/image" Target="/media/image8.jpg"/><Relationship Id="rId4" Type="http://schemas.openxmlformats.org/officeDocument/2006/relationships/fontTable" Target="/word/fontTable.xml"/><Relationship Id="rId918" Type="http://schemas.openxmlformats.org/officeDocument/2006/relationships/image" Target="/media/image4.jp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6EA377827AE4FB43A326620142D7E" ma:contentTypeVersion="14" ma:contentTypeDescription="Crée un document." ma:contentTypeScope="" ma:versionID="33793bb466a6c1deefa5947bd1b4a4be">
  <xsd:schema xmlns:xsd="http://www.w3.org/2001/XMLSchema" xmlns:xs="http://www.w3.org/2001/XMLSchema" xmlns:p="http://schemas.microsoft.com/office/2006/metadata/properties" xmlns:ns2="9032f83e-b9f5-4146-90e6-3500e3398806" xmlns:ns3="76ecad74-da29-4638-b8ec-b18309145f3d" targetNamespace="http://schemas.microsoft.com/office/2006/metadata/properties" ma:root="true" ma:fieldsID="ee0af257591274c7754616de1065c63b" ns2:_="" ns3:_="">
    <xsd:import namespace="9032f83e-b9f5-4146-90e6-3500e3398806"/>
    <xsd:import namespace="76ecad74-da29-4638-b8ec-b18309145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obs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f83e-b9f5-4146-90e6-3500e33988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ecad74-da29-4638-b8ec-b18309145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obsr" ma:index="20" nillable="true" ma:displayName="obsr" ma:internalName="obs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sr xmlns="76ecad74-da29-4638-b8ec-b18309145f3d" xsi:nil="true"/>
  </documentManagement>
</p:properties>
</file>

<file path=customXml/itemProps1.xml><?xml version="1.0" encoding="utf-8"?>
<ds:datastoreItem xmlns:ds="http://schemas.openxmlformats.org/officeDocument/2006/customXml" ds:itemID="{35D8C189-BE34-42C0-B774-5612B9EE1189}"/>
</file>

<file path=customXml/itemProps2.xml><?xml version="1.0" encoding="utf-8"?>
<ds:datastoreItem xmlns:ds="http://schemas.openxmlformats.org/officeDocument/2006/customXml" ds:itemID="{2B0E7511-2A49-48D8-95B4-4C0C12778FBE}"/>
</file>

<file path=customXml/itemProps3.xml><?xml version="1.0" encoding="utf-8"?>
<ds:datastoreItem xmlns:ds="http://schemas.openxmlformats.org/officeDocument/2006/customXml" ds:itemID="{DC7DA260-288C-4E58-A710-170FA2111E2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0x010100ECB6EA377827AE4FB43A326620142D7E</vt:lpwstr>
  </property>
</Properties>
</file>